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E2F4F" w14:textId="77777777" w:rsidR="00B27D1E" w:rsidRDefault="00B27D1E" w:rsidP="00B27D1E">
      <w:pPr>
        <w:rPr>
          <w:b/>
          <w:bCs/>
          <w:sz w:val="28"/>
          <w:szCs w:val="28"/>
        </w:rPr>
      </w:pPr>
    </w:p>
    <w:p w14:paraId="4909BD8B" w14:textId="5B20077C" w:rsidR="00B27D1E" w:rsidRPr="00465BCB" w:rsidRDefault="00B27D1E" w:rsidP="00B27D1E">
      <w:pPr>
        <w:rPr>
          <w:b/>
          <w:bCs/>
          <w:sz w:val="28"/>
          <w:szCs w:val="28"/>
        </w:rPr>
      </w:pPr>
      <w:bookmarkStart w:id="0" w:name="_GoBack"/>
      <w:r w:rsidRPr="00465BCB">
        <w:rPr>
          <w:b/>
          <w:bCs/>
          <w:sz w:val="28"/>
          <w:szCs w:val="28"/>
        </w:rPr>
        <w:t xml:space="preserve">Explanation of warrant article to fund County </w:t>
      </w:r>
      <w:r>
        <w:rPr>
          <w:b/>
          <w:bCs/>
          <w:sz w:val="28"/>
          <w:szCs w:val="28"/>
        </w:rPr>
        <w:t>Revenue Replacement (a/k/a budget shortfall)</w:t>
      </w:r>
    </w:p>
    <w:bookmarkEnd w:id="0"/>
    <w:p w14:paraId="6D709C86" w14:textId="710A869D" w:rsidR="00B27D1E" w:rsidRDefault="00AB0167" w:rsidP="00B27D1E">
      <w:pPr>
        <w:rPr>
          <w:b/>
          <w:bCs/>
        </w:rPr>
      </w:pPr>
      <w:r>
        <w:t xml:space="preserve">In recent years </w:t>
      </w:r>
      <w:r w:rsidR="00B27D1E">
        <w:t xml:space="preserve">substantial </w:t>
      </w:r>
      <w:r>
        <w:t xml:space="preserve">portion of the county assessment was </w:t>
      </w:r>
      <w:r w:rsidR="00B27D1E">
        <w:t xml:space="preserve">credited back to the towns </w:t>
      </w:r>
      <w:r>
        <w:t xml:space="preserve">(mainly thanks </w:t>
      </w:r>
      <w:r w:rsidR="00B27D1E">
        <w:t>to high</w:t>
      </w:r>
      <w:r>
        <w:t xml:space="preserve"> </w:t>
      </w:r>
      <w:r w:rsidR="00B27D1E">
        <w:t>deed</w:t>
      </w:r>
      <w:r>
        <w:t>s</w:t>
      </w:r>
      <w:r w:rsidR="00B27D1E">
        <w:t xml:space="preserve"> excise tax revenue during the pandemic</w:t>
      </w:r>
      <w:r>
        <w:t>)</w:t>
      </w:r>
      <w:r w:rsidR="00B27D1E">
        <w:t>.</w:t>
      </w:r>
      <w:r>
        <w:t xml:space="preserve">  </w:t>
      </w:r>
      <w:r w:rsidR="00B27D1E">
        <w:t>FY2020 credi</w:t>
      </w:r>
      <w:r>
        <w:t xml:space="preserve">t was </w:t>
      </w:r>
      <w:r w:rsidR="00B27D1E">
        <w:t>$234,663.80</w:t>
      </w:r>
      <w:r>
        <w:t xml:space="preserve">, </w:t>
      </w:r>
      <w:r w:rsidR="00B27D1E">
        <w:t>FY2021 credit</w:t>
      </w:r>
      <w:r>
        <w:t xml:space="preserve"> </w:t>
      </w:r>
      <w:r w:rsidR="00B27D1E">
        <w:t>$</w:t>
      </w:r>
      <w:r w:rsidR="00D54354">
        <w:t>385,208</w:t>
      </w:r>
      <w:r>
        <w:t>.  The practice of returning surplus funds to the towns leaves the county with only approx. $54K as “free cash” available for any emergencies and unforeseen expenses. Along with another $50,405 in a stabilization fund.</w:t>
      </w:r>
    </w:p>
    <w:p w14:paraId="4F0A262A" w14:textId="4F3F5430" w:rsidR="00B27D1E" w:rsidRDefault="00B27D1E" w:rsidP="00B27D1E">
      <w:r>
        <w:t xml:space="preserve">The projected </w:t>
      </w:r>
      <w:r w:rsidR="005F7A16">
        <w:t xml:space="preserve">budget </w:t>
      </w:r>
      <w:r>
        <w:t>shortfall for FY2024 is $42,000</w:t>
      </w:r>
      <w:r w:rsidR="009102D9">
        <w:t xml:space="preserve">. </w:t>
      </w:r>
    </w:p>
    <w:tbl>
      <w:tblPr>
        <w:tblW w:w="3086" w:type="dxa"/>
        <w:tblLook w:val="04A0" w:firstRow="1" w:lastRow="0" w:firstColumn="1" w:lastColumn="0" w:noHBand="0" w:noVBand="1"/>
      </w:tblPr>
      <w:tblGrid>
        <w:gridCol w:w="2864"/>
        <w:gridCol w:w="222"/>
      </w:tblGrid>
      <w:tr w:rsidR="00B27D1E" w:rsidRPr="00603E14" w14:paraId="312F64BF" w14:textId="77777777" w:rsidTr="002E70BB">
        <w:trPr>
          <w:trHeight w:val="31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5366FE1C" w14:textId="2DB2EE27" w:rsidR="00B27D1E" w:rsidRPr="00603E14" w:rsidRDefault="00D54354" w:rsidP="002E70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Revenue replacement /</w:t>
            </w:r>
            <w:r w:rsidR="00B27D1E" w:rsidRPr="00603E1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Budget Shortfall </w:t>
            </w:r>
          </w:p>
        </w:tc>
      </w:tr>
      <w:tr w:rsidR="00B27D1E" w:rsidRPr="00603E14" w14:paraId="392B805A" w14:textId="77777777" w:rsidTr="002E70BB">
        <w:trPr>
          <w:trHeight w:val="315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E6F" w14:textId="18BE01BB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603E14">
              <w:rPr>
                <w:rFonts w:ascii="Calibri" w:eastAsia="Times New Roman" w:hAnsi="Calibri" w:cs="Calibri"/>
                <w:b/>
                <w:bCs/>
                <w:color w:val="FF0000"/>
              </w:rPr>
              <w:t>$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42</w:t>
            </w:r>
            <w:r w:rsidRPr="00603E14">
              <w:rPr>
                <w:rFonts w:ascii="Calibri" w:eastAsia="Times New Roman" w:hAnsi="Calibri" w:cs="Calibri"/>
                <w:b/>
                <w:bCs/>
                <w:color w:val="FF0000"/>
              </w:rPr>
              <w:t>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0E5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B27D1E" w:rsidRPr="00603E14" w14:paraId="5C581D96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E166" w14:textId="434B972E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Aquinnah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$1,</w:t>
            </w:r>
            <w:r w:rsidR="00D61489">
              <w:rPr>
                <w:rFonts w:ascii="Calibri" w:eastAsia="Times New Roman" w:hAnsi="Calibri" w:cs="Calibri"/>
                <w:color w:val="000000"/>
              </w:rPr>
              <w:t>377.60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E4B0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D1E" w:rsidRPr="00603E14" w14:paraId="55941345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1AD" w14:textId="70158BEC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Chilmark  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6</w:t>
            </w:r>
            <w:r w:rsidRPr="00603E14">
              <w:rPr>
                <w:rFonts w:ascii="Calibri" w:eastAsia="Times New Roman" w:hAnsi="Calibri" w:cs="Calibri"/>
                <w:color w:val="000000"/>
              </w:rPr>
              <w:t>,</w:t>
            </w:r>
            <w:r w:rsidR="00D61489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900C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D1E" w:rsidRPr="00603E14" w14:paraId="6A1B7144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2206" w14:textId="387C6E9A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Edgartown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17,228.40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FF7F" w14:textId="77777777" w:rsidR="00B27D1E" w:rsidRPr="00603E14" w:rsidRDefault="00B27D1E" w:rsidP="002E70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603E14">
              <w:rPr>
                <w:rFonts w:ascii="Calibri" w:eastAsia="Times New Roman" w:hAnsi="Calibri" w:cs="Calibri"/>
                <w:color w:val="FF0000"/>
              </w:rPr>
              <w:t xml:space="preserve">   </w:t>
            </w:r>
          </w:p>
        </w:tc>
      </w:tr>
      <w:tr w:rsidR="00B27D1E" w:rsidRPr="00603E14" w14:paraId="5741BF27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3E81" w14:textId="1403DA61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Gosnold     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386.40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DEB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D1E" w:rsidRPr="00603E14" w14:paraId="401EBC0A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2C2" w14:textId="38C67066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Oak Bluffs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6,186.60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EC0E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D1E" w:rsidRPr="00603E14" w14:paraId="19F1A1B7" w14:textId="77777777" w:rsidTr="002E70BB">
        <w:trPr>
          <w:trHeight w:val="300"/>
        </w:trPr>
        <w:tc>
          <w:tcPr>
            <w:tcW w:w="2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522" w14:textId="28386E2F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Tisbury 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5,485.20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0D2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D1E" w:rsidRPr="00603E14" w14:paraId="3D43086C" w14:textId="77777777" w:rsidTr="002E70BB">
        <w:trPr>
          <w:trHeight w:val="315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B2C2" w14:textId="4F531CFE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West Tisbury    </w:t>
            </w:r>
            <w:r w:rsidRPr="00603E14">
              <w:rPr>
                <w:rFonts w:ascii="Calibri" w:eastAsia="Times New Roman" w:hAnsi="Calibri" w:cs="Calibri"/>
                <w:color w:val="000000"/>
              </w:rPr>
              <w:t>$</w:t>
            </w:r>
            <w:r w:rsidR="00D61489">
              <w:rPr>
                <w:rFonts w:ascii="Calibri" w:eastAsia="Times New Roman" w:hAnsi="Calibri" w:cs="Calibri"/>
                <w:color w:val="000000"/>
              </w:rPr>
              <w:t>5,098.80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AF0B" w14:textId="77777777" w:rsidR="00B27D1E" w:rsidRPr="00603E14" w:rsidRDefault="00B27D1E" w:rsidP="002E7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A6DF64" w14:textId="77777777" w:rsidR="00B27D1E" w:rsidRDefault="00B27D1E" w:rsidP="00B27D1E"/>
    <w:p w14:paraId="4FD4D618" w14:textId="4D2FFB43" w:rsidR="00B27D1E" w:rsidRDefault="005F7A16" w:rsidP="00B27D1E">
      <w:pPr>
        <w:pStyle w:val="NoSpacing"/>
      </w:pPr>
      <w:r>
        <w:t xml:space="preserve">This request is “replacing” the allocation of overhead request. Last year the requested $65,085 was approved in all towns but West Tisbury.  </w:t>
      </w:r>
      <w:r w:rsidR="00B27D1E">
        <w:t xml:space="preserve">This also better reflects the fact that Dukes County general administration (County Manager’s Office and County Treasurer’s Office) takes care of all the following </w:t>
      </w:r>
      <w:r w:rsidR="00B27D1E" w:rsidRPr="005F7A16">
        <w:t>NON-MANDATED</w:t>
      </w:r>
      <w:r w:rsidR="00B27D1E">
        <w:t xml:space="preserve"> regional programs and initiatives that </w:t>
      </w:r>
      <w:r w:rsidR="00B27D1E" w:rsidRPr="003514AA">
        <w:rPr>
          <w:b/>
          <w:bCs/>
        </w:rPr>
        <w:t>benefit the towns</w:t>
      </w:r>
      <w:r w:rsidR="00B27D1E">
        <w:t>:</w:t>
      </w:r>
    </w:p>
    <w:p w14:paraId="33263D99" w14:textId="77777777" w:rsidR="00B27D1E" w:rsidRDefault="00B27D1E" w:rsidP="00B27D1E">
      <w:pPr>
        <w:pStyle w:val="NoSpacing"/>
      </w:pPr>
    </w:p>
    <w:p w14:paraId="5D15D91E" w14:textId="77777777" w:rsidR="00B27D1E" w:rsidRDefault="00B27D1E" w:rsidP="00B27D1E">
      <w:pPr>
        <w:pStyle w:val="NoSpacing"/>
      </w:pPr>
      <w:r w:rsidRPr="00B51488">
        <w:rPr>
          <w:b/>
          <w:bCs/>
        </w:rPr>
        <w:t>In-house</w:t>
      </w:r>
      <w:r>
        <w:t xml:space="preserve"> (we manage staff, house the programs and provide all support services): </w:t>
      </w:r>
    </w:p>
    <w:p w14:paraId="2A373921" w14:textId="4F7A4CE7" w:rsidR="00B27D1E" w:rsidRDefault="005F7A16" w:rsidP="00B27D1E">
      <w:pPr>
        <w:pStyle w:val="NoSpacing"/>
        <w:numPr>
          <w:ilvl w:val="0"/>
          <w:numId w:val="1"/>
        </w:numPr>
      </w:pPr>
      <w:r>
        <w:t xml:space="preserve">Dukes County </w:t>
      </w:r>
      <w:r w:rsidR="00B27D1E">
        <w:t>Health Care Access Program</w:t>
      </w:r>
    </w:p>
    <w:p w14:paraId="239769AD" w14:textId="72930435" w:rsidR="00B27D1E" w:rsidRDefault="00B27D1E" w:rsidP="00B27D1E">
      <w:pPr>
        <w:pStyle w:val="NoSpacing"/>
        <w:numPr>
          <w:ilvl w:val="0"/>
          <w:numId w:val="1"/>
        </w:numPr>
      </w:pPr>
      <w:r>
        <w:t xml:space="preserve">Dukes County </w:t>
      </w:r>
      <w:r w:rsidR="005F7A16">
        <w:t xml:space="preserve">Public Benefits Access (formerly DC </w:t>
      </w:r>
      <w:r>
        <w:t>Social Services</w:t>
      </w:r>
      <w:r w:rsidR="005F7A16">
        <w:t>)</w:t>
      </w:r>
    </w:p>
    <w:p w14:paraId="17559F7B" w14:textId="77777777" w:rsidR="00B27D1E" w:rsidRDefault="00B27D1E" w:rsidP="00B27D1E">
      <w:pPr>
        <w:pStyle w:val="NoSpacing"/>
        <w:numPr>
          <w:ilvl w:val="0"/>
          <w:numId w:val="1"/>
        </w:numPr>
      </w:pPr>
      <w:r>
        <w:t>Procurement of heating oil for all municipal buildings (on behalf of Town Administrators)</w:t>
      </w:r>
    </w:p>
    <w:p w14:paraId="4AD3E9A8" w14:textId="77777777" w:rsidR="00B27D1E" w:rsidRDefault="00B27D1E" w:rsidP="00B27D1E">
      <w:pPr>
        <w:pStyle w:val="NoSpacing"/>
        <w:numPr>
          <w:ilvl w:val="0"/>
          <w:numId w:val="1"/>
        </w:numPr>
      </w:pPr>
      <w:r>
        <w:t>Procurement of dog tags for all towns (on behalf of Town Clerks)</w:t>
      </w:r>
    </w:p>
    <w:p w14:paraId="3EB79FCF" w14:textId="77777777" w:rsidR="00B27D1E" w:rsidRDefault="00B27D1E" w:rsidP="00B27D1E">
      <w:pPr>
        <w:pStyle w:val="NoSpacing"/>
        <w:numPr>
          <w:ilvl w:val="0"/>
          <w:numId w:val="1"/>
        </w:numPr>
      </w:pPr>
      <w:r>
        <w:t>Shellfish Propagation Grant (benefits the MV Shellfish Group and local shell fishing)</w:t>
      </w:r>
    </w:p>
    <w:p w14:paraId="257A9082" w14:textId="77777777" w:rsidR="00B27D1E" w:rsidRDefault="00B27D1E" w:rsidP="00B27D1E">
      <w:pPr>
        <w:pStyle w:val="NoSpacing"/>
        <w:numPr>
          <w:ilvl w:val="0"/>
          <w:numId w:val="1"/>
        </w:numPr>
      </w:pPr>
      <w:r>
        <w:t>Prescription Fund (donations to help people to pay for medical prescriptions)</w:t>
      </w:r>
    </w:p>
    <w:p w14:paraId="6A068991" w14:textId="77777777" w:rsidR="00B27D1E" w:rsidRDefault="00B27D1E" w:rsidP="00B27D1E">
      <w:pPr>
        <w:pStyle w:val="NoSpacing"/>
        <w:numPr>
          <w:ilvl w:val="0"/>
          <w:numId w:val="1"/>
        </w:numPr>
      </w:pPr>
      <w:r>
        <w:t>Veterans Fund (donations to help veterans in need)</w:t>
      </w:r>
    </w:p>
    <w:p w14:paraId="62A6E659" w14:textId="77777777" w:rsidR="00B27D1E" w:rsidRDefault="00B27D1E" w:rsidP="00B27D1E">
      <w:pPr>
        <w:pStyle w:val="NoSpacing"/>
      </w:pPr>
    </w:p>
    <w:p w14:paraId="7789F87D" w14:textId="471ECD5D" w:rsidR="009102D9" w:rsidRDefault="009102D9" w:rsidP="009102D9">
      <w:r>
        <w:t>The County is happy to continue to provide th</w:t>
      </w:r>
      <w:r w:rsidR="005F7A16">
        <w:t xml:space="preserve">ese </w:t>
      </w:r>
      <w:r>
        <w:t>service</w:t>
      </w:r>
      <w:r w:rsidR="005F7A16">
        <w:t>s</w:t>
      </w:r>
      <w:r>
        <w:t xml:space="preserve"> to the towns. However, with the 2 ½ % restrictions on increase of the general county assessment, there is a need for submission of this request that represents supplement to the county revenue to balance the general county budget.  </w:t>
      </w:r>
    </w:p>
    <w:p w14:paraId="2D3119F8" w14:textId="77777777" w:rsidR="00AB7C90" w:rsidRDefault="00AB7C90"/>
    <w:sectPr w:rsidR="00AB7C90" w:rsidSect="00F772DF">
      <w:type w:val="continuous"/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108B8"/>
    <w:multiLevelType w:val="hybridMultilevel"/>
    <w:tmpl w:val="5D5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A382E"/>
    <w:multiLevelType w:val="hybridMultilevel"/>
    <w:tmpl w:val="DACC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1E"/>
    <w:rsid w:val="002A14EA"/>
    <w:rsid w:val="005F7A16"/>
    <w:rsid w:val="009102D9"/>
    <w:rsid w:val="00AB0167"/>
    <w:rsid w:val="00AB7C90"/>
    <w:rsid w:val="00B27D1E"/>
    <w:rsid w:val="00D54354"/>
    <w:rsid w:val="00D6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7A92"/>
  <w15:chartTrackingRefBased/>
  <w15:docId w15:val="{4BFD1600-04E0-42EA-8D0B-17461B8C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Town Clerk</cp:lastModifiedBy>
  <cp:revision>2</cp:revision>
  <dcterms:created xsi:type="dcterms:W3CDTF">2023-01-12T13:32:00Z</dcterms:created>
  <dcterms:modified xsi:type="dcterms:W3CDTF">2023-01-12T13:32:00Z</dcterms:modified>
</cp:coreProperties>
</file>